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F9768" w14:textId="31748E53" w:rsidR="00413EC8" w:rsidRPr="00521D36" w:rsidRDefault="004B39AF" w:rsidP="00413EC8">
      <w:pPr>
        <w:pStyle w:val="Footer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inline distT="0" distB="0" distL="0" distR="0" wp14:anchorId="5F84C3AB" wp14:editId="73A2471C">
            <wp:extent cx="990292" cy="720000"/>
            <wp:effectExtent l="0" t="0" r="635" b="4445"/>
            <wp:docPr id="1676211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11971" name="Picture 16762119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5838" w14:textId="0180D909" w:rsidR="004D1A3A" w:rsidRPr="00521D36" w:rsidRDefault="004D1A3A" w:rsidP="00044F0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521D36">
        <w:rPr>
          <w:rFonts w:ascii="TH Sarabun New" w:hAnsi="TH Sarabun New" w:cs="TH Sarabun New"/>
          <w:b/>
          <w:bCs/>
          <w:sz w:val="40"/>
          <w:szCs w:val="40"/>
          <w:cs/>
        </w:rPr>
        <w:t>โรงพยาบาล....................................................จังหวัด............................วันที่จัดทำเอกสาร..........................................................</w:t>
      </w:r>
    </w:p>
    <w:p w14:paraId="5511B879" w14:textId="2D396E00" w:rsidR="006147C3" w:rsidRPr="00521D36" w:rsidRDefault="007978FC" w:rsidP="00044F03">
      <w:pPr>
        <w:jc w:val="center"/>
        <w:rPr>
          <w:rFonts w:ascii="TH Sarabun New" w:hAnsi="TH Sarabun New" w:cs="TH Sarabun New"/>
          <w:b/>
          <w:bCs/>
          <w:color w:val="0070C0"/>
          <w:sz w:val="36"/>
          <w:szCs w:val="36"/>
          <w:u w:val="single"/>
        </w:rPr>
      </w:pPr>
      <w:r w:rsidRPr="00521D36">
        <w:rPr>
          <w:rFonts w:ascii="TH Sarabun New" w:hAnsi="TH Sarabun New" w:cs="TH Sarabun New"/>
          <w:b/>
          <w:bCs/>
          <w:sz w:val="36"/>
          <w:szCs w:val="36"/>
          <w:cs/>
        </w:rPr>
        <w:t>แบบรายงาน</w:t>
      </w:r>
      <w:bookmarkStart w:id="0" w:name="_Hlk147987870"/>
      <w:r w:rsidRPr="00521D36">
        <w:rPr>
          <w:rFonts w:ascii="TH Sarabun New" w:hAnsi="TH Sarabun New" w:cs="TH Sarabun New"/>
          <w:b/>
          <w:bCs/>
          <w:sz w:val="36"/>
          <w:szCs w:val="36"/>
          <w:cs/>
        </w:rPr>
        <w:t>ผลการวิเคราะห์ช่องว่างของกระบวนการ</w:t>
      </w:r>
      <w:r w:rsidRPr="00521D36">
        <w:rPr>
          <w:rFonts w:ascii="TH Sarabun New" w:hAnsi="TH Sarabun New" w:cs="TH Sarabun New"/>
          <w:b/>
          <w:bCs/>
          <w:sz w:val="36"/>
          <w:szCs w:val="36"/>
        </w:rPr>
        <w:t xml:space="preserve"> (Gap analysis)</w:t>
      </w:r>
      <w:r w:rsidRPr="00521D3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และแผนการพัฒนาตามมาตรฐานสำคัญจำเป็นต่อความปลอดภัย</w:t>
      </w:r>
      <w:r w:rsidR="00413EC8" w:rsidRPr="00521D36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Pr="00521D36">
        <w:rPr>
          <w:rFonts w:ascii="TH Sarabun New" w:hAnsi="TH Sarabun New" w:cs="TH Sarabun New"/>
          <w:b/>
          <w:bCs/>
          <w:sz w:val="36"/>
          <w:szCs w:val="36"/>
          <w:cs/>
        </w:rPr>
        <w:t>ที่คณะกรรมการกำหนด</w:t>
      </w:r>
      <w:bookmarkEnd w:id="0"/>
      <w:r w:rsidR="006147C3" w:rsidRPr="00521D36">
        <w:rPr>
          <w:rFonts w:ascii="TH Sarabun New" w:hAnsi="TH Sarabun New" w:cs="TH Sarabun New"/>
          <w:b/>
          <w:bCs/>
          <w:sz w:val="36"/>
          <w:szCs w:val="36"/>
          <w:cs/>
        </w:rPr>
        <w:t>ศึกษารายละเอียดเพิ่มเติมจากหนังสือเป้าหมายความปลอดภัยของผู้ป่วย และของบุคลากรสาธารณสุขของประเทศไทย</w:t>
      </w:r>
      <w:r w:rsidR="006147C3" w:rsidRPr="00521D36">
        <w:rPr>
          <w:rFonts w:ascii="TH Sarabun New" w:hAnsi="TH Sarabun New" w:cs="TH Sarabun New"/>
          <w:sz w:val="36"/>
          <w:szCs w:val="36"/>
          <w:cs/>
        </w:rPr>
        <w:t xml:space="preserve"> </w:t>
      </w:r>
      <w:hyperlink r:id="rId8" w:history="1">
        <w:r w:rsidR="006147C3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  <w:cs/>
          </w:rPr>
          <w:t>(</w:t>
        </w:r>
        <w:r w:rsidR="00EE2B4A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  <w:cs/>
          </w:rPr>
          <w:t xml:space="preserve">เอกสารอ้างอิง </w:t>
        </w:r>
        <w:r w:rsidR="00EE2B4A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</w:rPr>
          <w:t xml:space="preserve">SIMPLE </w:t>
        </w:r>
        <w:r w:rsidR="00EE2B4A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  <w:cs/>
          </w:rPr>
          <w:t>2018 (</w:t>
        </w:r>
        <w:r w:rsidR="00EE2B4A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</w:rPr>
          <w:t>Patient</w:t>
        </w:r>
        <w:r w:rsidR="006147C3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</w:rPr>
          <w:t>)</w:t>
        </w:r>
        <w:r w:rsidR="3F94BC10" w:rsidRPr="00521D36">
          <w:rPr>
            <w:rFonts w:ascii="TH Sarabun New" w:hAnsi="TH Sarabun New" w:cs="TH Sarabun New"/>
            <w:b/>
            <w:bCs/>
            <w:color w:val="0070C0"/>
            <w:sz w:val="36"/>
            <w:szCs w:val="36"/>
          </w:rPr>
          <w:t xml:space="preserve"> /</w:t>
        </w:r>
        <w:proofErr w:type="spellStart"/>
      </w:hyperlink>
      <w:hyperlink r:id="rId9">
        <w:r w:rsidR="3F94BC10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</w:rPr>
          <w:t>เอกสารอ้างอิง</w:t>
        </w:r>
        <w:proofErr w:type="spellEnd"/>
        <w:r w:rsidR="3F94BC10" w:rsidRPr="00521D36">
          <w:rPr>
            <w:rStyle w:val="Hyperlink"/>
            <w:rFonts w:ascii="TH Sarabun New" w:hAnsi="TH Sarabun New" w:cs="TH Sarabun New"/>
            <w:b/>
            <w:bCs/>
            <w:color w:val="0070C0"/>
            <w:sz w:val="36"/>
            <w:szCs w:val="36"/>
          </w:rPr>
          <w:t xml:space="preserve"> SIMPLE 2018 (Personnel)</w:t>
        </w:r>
      </w:hyperlink>
      <w:r w:rsidR="44682D33" w:rsidRPr="00521D36">
        <w:rPr>
          <w:rFonts w:ascii="TH Sarabun New" w:hAnsi="TH Sarabun New" w:cs="TH Sarabun New"/>
          <w:b/>
          <w:bCs/>
          <w:color w:val="0070C0"/>
          <w:sz w:val="36"/>
          <w:szCs w:val="36"/>
        </w:rPr>
        <w:t xml:space="preserve"> </w:t>
      </w:r>
      <w:proofErr w:type="spellStart"/>
      <w:r w:rsidR="44682D33" w:rsidRPr="00521D36">
        <w:rPr>
          <w:rFonts w:ascii="TH Sarabun New" w:hAnsi="TH Sarabun New" w:cs="TH Sarabun New"/>
          <w:b/>
          <w:bCs/>
          <w:color w:val="0070C0"/>
          <w:sz w:val="36"/>
          <w:szCs w:val="36"/>
        </w:rPr>
        <w:t>และ</w:t>
      </w:r>
      <w:r w:rsidR="44682D33" w:rsidRPr="00521D36">
        <w:rPr>
          <w:rFonts w:ascii="TH Sarabun New" w:hAnsi="TH Sarabun New" w:cs="TH Sarabun New"/>
          <w:b/>
          <w:bCs/>
          <w:color w:val="0070C0"/>
          <w:sz w:val="36"/>
          <w:szCs w:val="36"/>
          <w:u w:val="single"/>
        </w:rPr>
        <w:t>SIMPLE</w:t>
      </w:r>
      <w:proofErr w:type="spellEnd"/>
      <w:r w:rsidR="44682D33" w:rsidRPr="00521D36">
        <w:rPr>
          <w:rFonts w:ascii="TH Sarabun New" w:hAnsi="TH Sarabun New" w:cs="TH Sarabun New"/>
          <w:b/>
          <w:bCs/>
          <w:color w:val="0070C0"/>
          <w:sz w:val="36"/>
          <w:szCs w:val="36"/>
          <w:u w:val="single"/>
        </w:rPr>
        <w:t xml:space="preserve"> 2021)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3343"/>
        <w:gridCol w:w="3341"/>
        <w:gridCol w:w="2960"/>
      </w:tblGrid>
      <w:tr w:rsidR="00CB2F43" w:rsidRPr="00521D36" w14:paraId="1B8A7A1F" w14:textId="77777777" w:rsidTr="00044F03">
        <w:trPr>
          <w:tblHeader/>
        </w:trPr>
        <w:tc>
          <w:tcPr>
            <w:tcW w:w="4361" w:type="dxa"/>
            <w:shd w:val="clear" w:color="auto" w:fill="BDD6EE" w:themeFill="accent5" w:themeFillTint="66"/>
          </w:tcPr>
          <w:p w14:paraId="52963F4F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หัวข้อประเด็นมาตรฐานสำคัญจำเป็นต่อความปลอดภัย</w:t>
            </w:r>
          </w:p>
        </w:tc>
        <w:tc>
          <w:tcPr>
            <w:tcW w:w="3402" w:type="dxa"/>
            <w:shd w:val="clear" w:color="auto" w:fill="BDD6EE" w:themeFill="accent5" w:themeFillTint="66"/>
          </w:tcPr>
          <w:p w14:paraId="6907AC90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>Actual Practice</w:t>
            </w:r>
          </w:p>
          <w:p w14:paraId="6673FB9C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สิ่งที่ดำเนินการอยู่ในปัจจุบัน</w:t>
            </w:r>
          </w:p>
        </w:tc>
        <w:tc>
          <w:tcPr>
            <w:tcW w:w="3402" w:type="dxa"/>
            <w:shd w:val="clear" w:color="auto" w:fill="BDD6EE" w:themeFill="accent5" w:themeFillTint="66"/>
          </w:tcPr>
          <w:p w14:paraId="0A886DB6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>Desired Practice</w:t>
            </w:r>
          </w:p>
          <w:p w14:paraId="2EE59105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สิ่งที่เป็นโอกาสพัฒนา</w:t>
            </w:r>
            <w:r w:rsidRPr="00521D36">
              <w:rPr>
                <w:rFonts w:ascii="TH Sarabun New" w:hAnsi="TH Sarabun New" w:cs="TH Sarabun New"/>
                <w:b/>
                <w:bCs/>
              </w:rPr>
              <w:t xml:space="preserve">/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ปรับปรุง</w:t>
            </w:r>
          </w:p>
        </w:tc>
        <w:tc>
          <w:tcPr>
            <w:tcW w:w="3009" w:type="dxa"/>
            <w:shd w:val="clear" w:color="auto" w:fill="BDD6EE" w:themeFill="accent5" w:themeFillTint="66"/>
          </w:tcPr>
          <w:p w14:paraId="37F9459B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>Action Plan</w:t>
            </w:r>
          </w:p>
          <w:p w14:paraId="70F02E83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  <w:cs/>
              </w:rPr>
              <w:t>แผนในการพัฒนา</w:t>
            </w:r>
            <w:r w:rsidRPr="00521D36">
              <w:rPr>
                <w:rFonts w:ascii="TH Sarabun New" w:hAnsi="TH Sarabun New" w:cs="TH Sarabun New"/>
                <w:b/>
                <w:bCs/>
              </w:rPr>
              <w:t xml:space="preserve">/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ปรับปรุง</w:t>
            </w:r>
          </w:p>
          <w:p w14:paraId="49354450" w14:textId="77777777" w:rsidR="00CB2F43" w:rsidRPr="00521D36" w:rsidRDefault="00CB2F43" w:rsidP="009860F9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(ระบุเวลาและผู้รับผิดชอบ)</w:t>
            </w:r>
          </w:p>
        </w:tc>
      </w:tr>
      <w:tr w:rsidR="00CB2F43" w:rsidRPr="00521D36" w14:paraId="2A5CD5B0" w14:textId="77777777" w:rsidTr="009860F9">
        <w:tc>
          <w:tcPr>
            <w:tcW w:w="4361" w:type="dxa"/>
          </w:tcPr>
          <w:p w14:paraId="2A7BAE8F" w14:textId="77777777" w:rsidR="00CB2F43" w:rsidRPr="00521D36" w:rsidRDefault="00CB2F43" w:rsidP="009860F9">
            <w:pPr>
              <w:ind w:left="180" w:hanging="180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ตัวอย่างการเขียน </w:t>
            </w:r>
          </w:p>
          <w:p w14:paraId="65E47FBC" w14:textId="77777777" w:rsidR="00CB2F43" w:rsidRPr="00521D36" w:rsidRDefault="00CB2F43" w:rsidP="009860F9">
            <w:pPr>
              <w:ind w:left="180" w:hanging="180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6.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 การผิดพลาดในการวินิจฉัยโรค</w:t>
            </w:r>
          </w:p>
        </w:tc>
        <w:tc>
          <w:tcPr>
            <w:tcW w:w="3402" w:type="dxa"/>
          </w:tcPr>
          <w:p w14:paraId="0A053CB2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การจัดการในระดับโรงพยาบาล เพื่อลดข้อผิดพลาดในการวินิจฉัยโรค (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Reduction of Diagnosis Error)</w:t>
            </w:r>
          </w:p>
          <w:p w14:paraId="05F633A3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1.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มีการจัดทำแนวทางเพื่อลดข้อผิดพลาดในการวินิจฉัยโรค เช่น</w:t>
            </w:r>
          </w:p>
          <w:p w14:paraId="5127A5D1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1.1)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เรียนรู้จากข้อผิดพลาดในการวินิจฉัยโรค โดยกำหนด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trigger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 ทบทวนเวชระเบียนผู้ป่วยเสียชีวิต</w:t>
            </w:r>
          </w:p>
          <w:p w14:paraId="79112634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1.2)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จัดให้มี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guideline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โรคสำคัญที่มักพบความคลาดเคลื่อนในการวินิจฉัย เช่น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sepsis, AMI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ที่สามารถแพทย์สามารถใช้งานได้บริเวณห้องฉุกเฉิน</w:t>
            </w:r>
          </w:p>
          <w:p w14:paraId="21F38C95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lastRenderedPageBreak/>
              <w:t xml:space="preserve">1.3)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สร้างบรรยากาศที่เอื้อต่อการวินิจฉัยโรคที่เหมาะสม โดยเสริมพลังให้พยาบาลมีส่วนร่วมในการปรับปรุงการวินิจฉัยโรค เช่น การติดตามการทุเลาของอาการหรืออาการใหม่ที่เกิดขึ้น </w:t>
            </w:r>
          </w:p>
          <w:p w14:paraId="1764F4FE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2)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การกำกับติดตาม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(monitoring)</w:t>
            </w:r>
          </w:p>
          <w:p w14:paraId="7F87DCF1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2.1)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มีการรายงานเหตุการณ์ไม่พึงประสงค์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อุบัติการณ์ผ่านแบบฟอร์มรายงานอุบัติการณ์ โดยปี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2566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มีอุบัติการณ์ระดับ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E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ขึ้นไป จำนวน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1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เหตุการณ์ ในผู้ป่วย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Sepsis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ได้มีการทบทวนวิเคราะห์สาเหตุและปรับปรุง</w:t>
            </w:r>
          </w:p>
          <w:p w14:paraId="171764FB" w14:textId="77777777" w:rsidR="00413EC8" w:rsidRPr="00521D36" w:rsidRDefault="00413EC8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7789A734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lastRenderedPageBreak/>
              <w:t xml:space="preserve">1.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การทบทวนแนวทางเพื่อลดข้อผิดพลาดในการวินิจฉัยโรคที่ครอบคลุมประเด็น (สอดคล้องตาม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SIMPLE)</w:t>
            </w:r>
          </w:p>
          <w:p w14:paraId="76E074AB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1.1)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การวางระบบรายงานผลการตรวจประกอบการวินิจฉัยให้ครบวงรอบ เช่นการส่งผลการตรวจให้ผู้ป่วย การติดตามการตอบสนอง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critical test </w:t>
            </w:r>
          </w:p>
          <w:p w14:paraId="1BE8AADA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1.2)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 การจัดทำบัญชีรายการปัญหาผู้ป่วยที่ถูกต้อง รวมทั้งการวินิจฉัยแยกโรคที่เหมาะสม</w:t>
            </w:r>
          </w:p>
          <w:p w14:paraId="47EF21DF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lastRenderedPageBreak/>
              <w:t xml:space="preserve">1.3)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จัดให้มีช่องทางและวิธีการที่ผู้ให้บริการจะได้รับข้อคิดเห็นสะท้อนกลับเกี่ยวกับการวินิจฉัยโรค</w:t>
            </w:r>
          </w:p>
          <w:p w14:paraId="3BF33616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2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.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การกำกับติดตามการทบทวนเหตุการณ์ไม่พึงประสงค์ และการส่งเสริมการรายงานอุบัติการณ์ ให้ครอบคลุมทุกหน่วยงาน</w:t>
            </w:r>
          </w:p>
        </w:tc>
        <w:tc>
          <w:tcPr>
            <w:tcW w:w="3009" w:type="dxa"/>
          </w:tcPr>
          <w:p w14:paraId="7C6ECE2B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lastRenderedPageBreak/>
              <w:t>แผนการพัฒนา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ปรับปรุง (ปี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2567)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ได้แก่</w:t>
            </w:r>
          </w:p>
          <w:p w14:paraId="41E84234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1.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ประชุมองค์กรแพทย์ (ผู้รับผิดชอบ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ประธานองค์กรแพทย์)</w:t>
            </w:r>
          </w:p>
          <w:p w14:paraId="0640A507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-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นำผลการททวนเวชระเบียนที่ได้กำหนด มากำหนดกลุ่มโรคที่มีโอกาสวินิจฉัยคลาดเคลื่อนให้ชัดเจน</w:t>
            </w:r>
          </w:p>
          <w:p w14:paraId="7907B2BD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จัดทำบัญชีรายการปัญหาผู้ป่วย รวมถึงการวินิจฉัยแยกโรคที่เหมาะสม</w:t>
            </w:r>
          </w:p>
          <w:p w14:paraId="3760FB84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lastRenderedPageBreak/>
              <w:t>-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เพิ่มเติมระบบการรายงานผลการตรวจประกอบการวินิจฉัยให้ครบวงจร เช่น การส่งผลการตรวจให้ผู้ป่วย การกำหนด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critical test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ที่ต้องติดตาม และระยะเวลาติดตามรวมถึงรูปแบบการติดตาม</w:t>
            </w:r>
          </w:p>
          <w:p w14:paraId="1E9DBE5D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-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ปรับปรุงแนวทางการขอ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>second opinion</w:t>
            </w:r>
          </w:p>
          <w:p w14:paraId="249CAD3C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2.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สรุปแนวทางที่ได้จากการประชุม สื่อสารในองค์กรแพทย์ เพื่อปฏิบัติ</w:t>
            </w:r>
          </w:p>
          <w:p w14:paraId="29AE9A29" w14:textId="77777777" w:rsidR="00CB2F43" w:rsidRPr="00521D36" w:rsidRDefault="00CB2F43" w:rsidP="009860F9">
            <w:pPr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3.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 xml:space="preserve">ติดตามผลการปฏิบัติทุก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</w:rPr>
              <w:t xml:space="preserve">3 </w:t>
            </w:r>
            <w:r w:rsidRPr="00521D36"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  <w:t>เดือน นำโอกาสพัฒนาที่พบมาปรับปรุง</w:t>
            </w:r>
          </w:p>
        </w:tc>
      </w:tr>
      <w:tr w:rsidR="00CB2F43" w:rsidRPr="00521D36" w14:paraId="7D8109F3" w14:textId="77777777" w:rsidTr="009860F9">
        <w:tc>
          <w:tcPr>
            <w:tcW w:w="14174" w:type="dxa"/>
            <w:gridSpan w:val="4"/>
            <w:shd w:val="clear" w:color="auto" w:fill="F2F2F2"/>
          </w:tcPr>
          <w:p w14:paraId="467E7CA8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lastRenderedPageBreak/>
              <w:t xml:space="preserve">1.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การผ่าตัดผิดคน ผิดข้าง ผิดตำแหน่ง ผิดหัตถการ</w:t>
            </w:r>
          </w:p>
        </w:tc>
      </w:tr>
      <w:tr w:rsidR="00CB2F43" w:rsidRPr="00521D36" w14:paraId="624D0D28" w14:textId="77777777" w:rsidTr="009860F9">
        <w:tc>
          <w:tcPr>
            <w:tcW w:w="4361" w:type="dxa"/>
          </w:tcPr>
          <w:p w14:paraId="5A67B612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SIMPLE: S1.1 Surgical Safety Checklist</w:t>
            </w:r>
          </w:p>
          <w:p w14:paraId="57C0C80C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เพื่อลดข้อผิดพลาดและเหตุการณ์ไม่พึงประสงค์ที่ป้องกันได้จากกระบวนการผ่าตัด และส่งเสริมการสื่อสารการทำงานป็นทีมที่คำนึงถึง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Critical Safety Steps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ร่วมกัน</w:t>
            </w:r>
          </w:p>
          <w:p w14:paraId="19C769B3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</w:p>
          <w:p w14:paraId="122EBCBD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lastRenderedPageBreak/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แนวทางการตรวจสอบเพื่อความปลอดภัยในการผ่าตัด (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Surgical Safety Checklist)</w:t>
            </w:r>
          </w:p>
          <w:p w14:paraId="260B67CB" w14:textId="77777777" w:rsidR="00CB2F43" w:rsidRPr="00521D36" w:rsidRDefault="00CB2F43" w:rsidP="009860F9">
            <w:pPr>
              <w:numPr>
                <w:ilvl w:val="0"/>
                <w:numId w:val="11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ก่อนให้ยาระงับความรู้สึก (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Sign in)</w:t>
            </w:r>
          </w:p>
          <w:p w14:paraId="1E999504" w14:textId="77777777" w:rsidR="00CB2F43" w:rsidRPr="00521D36" w:rsidRDefault="00CB2F43" w:rsidP="009860F9">
            <w:pPr>
              <w:numPr>
                <w:ilvl w:val="0"/>
                <w:numId w:val="11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ก่อนลงมีด (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Time out)</w:t>
            </w:r>
          </w:p>
          <w:p w14:paraId="04F66BC3" w14:textId="77777777" w:rsidR="00CB2F43" w:rsidRPr="00521D36" w:rsidRDefault="00CB2F43" w:rsidP="009860F9">
            <w:pPr>
              <w:numPr>
                <w:ilvl w:val="0"/>
                <w:numId w:val="11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ก่อนผู้ป่วยออกจากห้องผ่าตัด (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Sign out)</w:t>
            </w:r>
          </w:p>
          <w:p w14:paraId="7C90B8E1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หมายเหตุ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SIMPLE: S1.1 Surgical Safety Checklist </w:t>
            </w:r>
          </w:p>
          <w:p w14:paraId="571193E9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การอบรมทำความเข้าใจ ที่มา วัตถุประสงค์ ประโยชน์ของการใช้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Surgical Safety Checklist</w:t>
            </w:r>
          </w:p>
          <w:p w14:paraId="58643B5E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กำหนดและกำกับติดตามตัวชี้วัดกระบวนการ และจำนวนอุบัติการณ์ที่ควรรายงาน</w:t>
            </w:r>
          </w:p>
        </w:tc>
        <w:tc>
          <w:tcPr>
            <w:tcW w:w="3402" w:type="dxa"/>
          </w:tcPr>
          <w:p w14:paraId="18466A4E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068EE0D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34816002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058B281B" w14:textId="77777777" w:rsidTr="009860F9">
        <w:tc>
          <w:tcPr>
            <w:tcW w:w="14174" w:type="dxa"/>
            <w:gridSpan w:val="4"/>
            <w:shd w:val="clear" w:color="auto" w:fill="F2F2F2"/>
          </w:tcPr>
          <w:p w14:paraId="40FEAEF8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2.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 xml:space="preserve">การติดเชื้อที่สำคัญตามบริบทขององค์กรในกลุ่ม </w:t>
            </w:r>
            <w:r w:rsidRPr="00521D36">
              <w:rPr>
                <w:rFonts w:ascii="TH Sarabun New" w:hAnsi="TH Sarabun New" w:cs="TH Sarabun New"/>
                <w:b/>
                <w:bCs/>
              </w:rPr>
              <w:t>SSI, VAP, CAUTI, CABSI</w:t>
            </w:r>
          </w:p>
        </w:tc>
      </w:tr>
      <w:tr w:rsidR="00CB2F43" w:rsidRPr="00521D36" w14:paraId="74144E7C" w14:textId="77777777" w:rsidTr="009860F9">
        <w:tc>
          <w:tcPr>
            <w:tcW w:w="4361" w:type="dxa"/>
          </w:tcPr>
          <w:p w14:paraId="468E3647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58C50A8C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S 1.2: Surgical Site Infection (SSI) Prevention</w:t>
            </w:r>
          </w:p>
          <w:p w14:paraId="1A328503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  <w:p w14:paraId="1F258A00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2.1: Catheter-associated Urinary Tract Infection (CAUTI) Prevention</w:t>
            </w:r>
          </w:p>
          <w:p w14:paraId="7E2BE788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  <w:p w14:paraId="755E3BD2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 2.2: Ventilator-associated Pneumonia (VAP) Prevention</w:t>
            </w:r>
          </w:p>
          <w:p w14:paraId="3B29EB63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  <w:p w14:paraId="523817CB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lastRenderedPageBreak/>
              <w:t>I 2.3: Peripheral and Central Line-associated Bloodstream Infection (CLABSI) Prevention</w:t>
            </w:r>
          </w:p>
          <w:p w14:paraId="4CF5B6FD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979E580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4660DF5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7A323B27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7979C4E4" w14:textId="77777777" w:rsidTr="009860F9">
        <w:tc>
          <w:tcPr>
            <w:tcW w:w="14174" w:type="dxa"/>
            <w:gridSpan w:val="4"/>
            <w:shd w:val="clear" w:color="auto" w:fill="F2F2F2"/>
          </w:tcPr>
          <w:p w14:paraId="4A13ED0C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3.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บุคลากรติดเชื้อจากการปฏิบัติหน้าที่</w:t>
            </w:r>
          </w:p>
        </w:tc>
      </w:tr>
      <w:tr w:rsidR="00CB2F43" w:rsidRPr="00521D36" w14:paraId="55EE5596" w14:textId="77777777" w:rsidTr="009860F9">
        <w:tc>
          <w:tcPr>
            <w:tcW w:w="4361" w:type="dxa"/>
          </w:tcPr>
          <w:p w14:paraId="4F834F5F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 (Personnel Safety)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หมวด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I : </w:t>
            </w:r>
          </w:p>
          <w:p w14:paraId="7B88C2C1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I1 Fundamental of Infection Prevention and control for Workforce</w:t>
            </w:r>
          </w:p>
          <w:p w14:paraId="48A45EBF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I2 Specific Infection Prevention and Control for Workforce</w:t>
            </w:r>
          </w:p>
          <w:p w14:paraId="64D3B04F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 I2.1 Airborne Transmission</w:t>
            </w:r>
          </w:p>
          <w:p w14:paraId="281FA842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 I2.2 Droplet Transmission</w:t>
            </w:r>
          </w:p>
          <w:p w14:paraId="6186B27B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 I2.3 Contact Transmission</w:t>
            </w:r>
          </w:p>
          <w:p w14:paraId="077A15F8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 I2.4 Vector Borne Transmission</w:t>
            </w:r>
          </w:p>
          <w:p w14:paraId="71A9732D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14:paraId="0CB48C5F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579D848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2E6AE560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0F009BC4" w14:textId="77777777" w:rsidTr="009860F9">
        <w:tc>
          <w:tcPr>
            <w:tcW w:w="14174" w:type="dxa"/>
            <w:gridSpan w:val="4"/>
            <w:shd w:val="clear" w:color="auto" w:fill="F2F2F2"/>
          </w:tcPr>
          <w:p w14:paraId="335640CC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4.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 xml:space="preserve">การเกิด </w:t>
            </w:r>
            <w:r w:rsidRPr="00521D36">
              <w:rPr>
                <w:rFonts w:ascii="TH Sarabun New" w:hAnsi="TH Sarabun New" w:cs="TH Sarabun New"/>
                <w:b/>
                <w:bCs/>
              </w:rPr>
              <w:t xml:space="preserve">Medication Errors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 xml:space="preserve">และ </w:t>
            </w:r>
            <w:r w:rsidRPr="00521D36">
              <w:rPr>
                <w:rFonts w:ascii="TH Sarabun New" w:hAnsi="TH Sarabun New" w:cs="TH Sarabun New"/>
                <w:b/>
                <w:bCs/>
              </w:rPr>
              <w:t>Adverse Drug Events (ADE)</w:t>
            </w:r>
          </w:p>
        </w:tc>
      </w:tr>
      <w:tr w:rsidR="00CB2F43" w:rsidRPr="00521D36" w14:paraId="471D4D36" w14:textId="77777777" w:rsidTr="009860F9">
        <w:tc>
          <w:tcPr>
            <w:tcW w:w="4361" w:type="dxa"/>
          </w:tcPr>
          <w:p w14:paraId="256476E3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1A319D49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M1 Safe from Adverse Drug Events (ADE)</w:t>
            </w:r>
          </w:p>
          <w:p w14:paraId="7C6BC38C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M1.1 Safe from High Alert Drug</w:t>
            </w:r>
          </w:p>
          <w:p w14:paraId="4D39BD62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M1.2 Safe from Preventable Adverse Drug Reactions (ADR)</w:t>
            </w:r>
          </w:p>
          <w:p w14:paraId="3B232541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M1.3 Safe from Fatal Drug Interaction</w:t>
            </w:r>
          </w:p>
          <w:p w14:paraId="4E59017C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M 2 Safe from Medication Error</w:t>
            </w:r>
          </w:p>
          <w:p w14:paraId="479AC7D7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M2.1 Look-alike Sound-alike Medication Names</w:t>
            </w:r>
          </w:p>
          <w:p w14:paraId="17F15C20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 M2.2 Safe from Using Medication</w:t>
            </w:r>
          </w:p>
        </w:tc>
        <w:tc>
          <w:tcPr>
            <w:tcW w:w="3402" w:type="dxa"/>
          </w:tcPr>
          <w:p w14:paraId="2167E303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97CA416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2DAFAA19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75BF7A2D" w14:textId="77777777" w:rsidTr="009860F9">
        <w:tc>
          <w:tcPr>
            <w:tcW w:w="14174" w:type="dxa"/>
            <w:gridSpan w:val="4"/>
            <w:shd w:val="clear" w:color="auto" w:fill="F2F2F2"/>
          </w:tcPr>
          <w:p w14:paraId="4A27D913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5.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การให้เลือดผิดคน ผิดหมู่ ผิดชนิด</w:t>
            </w:r>
          </w:p>
        </w:tc>
      </w:tr>
      <w:tr w:rsidR="00CB2F43" w:rsidRPr="00521D36" w14:paraId="063E1D45" w14:textId="77777777" w:rsidTr="009860F9">
        <w:tc>
          <w:tcPr>
            <w:tcW w:w="4361" w:type="dxa"/>
          </w:tcPr>
          <w:p w14:paraId="4DBF0D1A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356688EB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M5 Blood Transfusion Safety</w:t>
            </w:r>
          </w:p>
          <w:p w14:paraId="399F7D7B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ลดความเสี่ยงและเพิ่มความปลอดภัยในการรักษาผู้ป่วยที่จำเป็นต้องได้รับโลหิตหรือส่วนประกอบโลหิต</w:t>
            </w:r>
          </w:p>
          <w:p w14:paraId="369DB6EB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</w:p>
          <w:p w14:paraId="5B7F2A0A" w14:textId="77777777" w:rsidR="00CB2F43" w:rsidRPr="00521D36" w:rsidRDefault="00CB2F43" w:rsidP="009860F9">
            <w:pPr>
              <w:numPr>
                <w:ilvl w:val="0"/>
                <w:numId w:val="16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กระบวนการจัดหาโลหิตที่ปลอดภัย ตามมาตรฐานบริการโลหิตและธนาคารเลือด รวมทั้งมาตรฐานสากลด้านเวชศาสตร์บริการโลหิตที่เป็นที่ยอมรับ</w:t>
            </w:r>
          </w:p>
          <w:p w14:paraId="387CA537" w14:textId="77777777" w:rsidR="00CB2F43" w:rsidRPr="00521D36" w:rsidRDefault="00CB2F43" w:rsidP="009860F9">
            <w:pPr>
              <w:numPr>
                <w:ilvl w:val="0"/>
                <w:numId w:val="16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กระบวนการให้โลหิตที่ปลอดภัยแก่ผู้ป่วย ตามมาตรฐานบริการโลหิตและธนาคารเลือด รวมทั้งมาตรฐานสากลด้านเวชศาสตร์บริการโลหิตที่เป็นที่ยอมรับ </w:t>
            </w:r>
          </w:p>
          <w:p w14:paraId="20DAF1D2" w14:textId="77777777" w:rsidR="00CB2F43" w:rsidRPr="00521D36" w:rsidRDefault="00CB2F43" w:rsidP="009860F9">
            <w:pPr>
              <w:numPr>
                <w:ilvl w:val="0"/>
                <w:numId w:val="16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กระบวนการเตรียมการก่อนให้โลหิต </w:t>
            </w:r>
          </w:p>
          <w:p w14:paraId="0A7BB9AB" w14:textId="77777777" w:rsidR="00CB2F43" w:rsidRPr="00521D36" w:rsidRDefault="00CB2F43" w:rsidP="009860F9">
            <w:pPr>
              <w:numPr>
                <w:ilvl w:val="0"/>
                <w:numId w:val="16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การให้โลหิตแก่ผู้ป่วย </w:t>
            </w:r>
          </w:p>
          <w:p w14:paraId="478E8753" w14:textId="77777777" w:rsidR="00CB2F43" w:rsidRPr="00521D36" w:rsidRDefault="00CB2F43" w:rsidP="009860F9">
            <w:pPr>
              <w:numPr>
                <w:ilvl w:val="0"/>
                <w:numId w:val="16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การติดตามเฝ้าระวังภาวะแทรกซ้อนหลังผู้ป่วยรับโลหิต (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hemovigilance)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14:paraId="41EA4974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หมายเหตุ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SIMPLE: M5 Blood Transfusion Safety</w:t>
            </w:r>
          </w:p>
          <w:p w14:paraId="5410B9DC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การฝึกอบรมและสื่อสาร บุคลากรทุกคนที่ปฏิบัติหน้าที่ในงานบริการโลหิตและธนาคารเลือด ต้องได้รับการอบรมก่อนการปฏิบัติงาน</w:t>
            </w:r>
          </w:p>
          <w:p w14:paraId="20B71B25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การกำกับติดตามผ่านระบบ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Hemovigilance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ตัวชี้วัดระดับโรงพยาบาล และรายงานอุบัติการณ์เกี่ยวกับ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Blood Safety</w:t>
            </w:r>
          </w:p>
        </w:tc>
        <w:tc>
          <w:tcPr>
            <w:tcW w:w="3402" w:type="dxa"/>
          </w:tcPr>
          <w:p w14:paraId="2B991556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AD4553E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2ED6EC90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408C4B4D" w14:textId="77777777" w:rsidTr="009860F9">
        <w:tc>
          <w:tcPr>
            <w:tcW w:w="14174" w:type="dxa"/>
            <w:gridSpan w:val="4"/>
            <w:shd w:val="clear" w:color="auto" w:fill="F2F2F2"/>
          </w:tcPr>
          <w:p w14:paraId="17F58216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6.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การระบุตัวผู้ป่วยผิดพลาด</w:t>
            </w:r>
          </w:p>
        </w:tc>
      </w:tr>
      <w:tr w:rsidR="00CB2F43" w:rsidRPr="00521D36" w14:paraId="2CA009E3" w14:textId="77777777" w:rsidTr="009860F9">
        <w:tc>
          <w:tcPr>
            <w:tcW w:w="4361" w:type="dxa"/>
          </w:tcPr>
          <w:p w14:paraId="6131A37C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4859B612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P1 Patient Identification</w:t>
            </w:r>
          </w:p>
          <w:p w14:paraId="34AAAB34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เพื่อให้การบ่งชี้ตัวผู้ป่วยเป้นไปทิศทางเดียวกันและป้องกันการบ่งชี้ตัวผู้ป่วยผิด</w:t>
            </w:r>
          </w:p>
          <w:p w14:paraId="1276BB7E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</w:p>
          <w:p w14:paraId="70037CD4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องค์กรควรวางแนวทางปฏิบัติหรือกำหนดเป็นนโยบาย เรื่องการระบุตัวผู้ป่วยให้ชัดเจนถูกต้อง โดยจัดเป็นประเด็นสำคัญเพื่อความปลอดภัยของผู้ป่วย โดยถือเป็นหน้าที่ความรับผิดชอบของบุคลากรทางการแพทย์และสาธารณสุขทุกคนที่จะต้องตรวจสอบและระบุตัวผู้ป่วยให้ถูกต้องก่อนให้การรักษา เช่น การทำหัตถการ การให้เลือด การให้ยา ก่อนการส่งต่อ การเปลี่ยนผ่าน การรายงานและการให้ข้อมูล รวมถึงก่อนการตรวจสอบผลตรวจทางห้องปฏิบัติการ และสิ่งส่งตรวจต่างๆ</w:t>
            </w:r>
          </w:p>
          <w:p w14:paraId="50D8C9B9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กำหนดให้มีการใช้ตัวชี้วัดบ่งชี้ตัวผู้ป่วยด้วย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2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ตัวบ่งชี้เป็นอย่างน้อย เช่น ชื่อ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-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นามสกุล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Hospital Number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วันเดือนปีเกิด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Barcode wrist banded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เลขบัตรประจำตัวประชาชน หรืออื่นๆ เพื่อยืนยันตัวบุคคลเมื่อแรกรับหรือเมื่อส่งต่อไปยังโรงพยาบาลอื่น และก่อนให้การดูแล โดยไม่ควรใช้หมายเลขเตียงหรือห้องเป็นตัวบ่งชี้</w:t>
            </w:r>
          </w:p>
          <w:p w14:paraId="27BFB006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ควรกำหนดให้วิธีการบ่งชี้ผู้ป่วยเป็นมาตรฐานเดียวกันทั้งองค์กร เช่น ใช้ป้ายข้อมูลสีขาวซึ่งมีรูปแบบมาตรฐานที่สามารถเขียนข้อมูลเฉพาะลงไปได้หรือหากจะมีการบ่งชี้ที่แตกต่างกันในแต่ละพื้นที่ควรมีการสื่อสารให้เข้าใจวัตถุประสงค์และวิธีการกับคนทั้งองค์กรให้เข้าใจตรงกัน เช่น การใช้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2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ตัวบ่งชี้อาจแตกต่างกันในผู้ป่วยในและผู้ป่วยนอก</w:t>
            </w:r>
          </w:p>
          <w:p w14:paraId="7FD0ACA5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จัดให้มีวิธีปฏิบัติเฉพาะที่ชัดเจนในการบ่งชี้ผู้ป่วยซึ่งไม่มีตัวบ่งชี้เฉพาะ เพื่อแยกแยะผู้ป่วยที่มีชื่อซ้ำกัน รวมถึงแนวทางการบ่งชี้ตัวผู้ป่วยในกรณีที่ไม่รู้สึกตัวหรือสับสนที่ไม่ใช้วิธีการซักถาม รวมถึงการบ่งชี้เด็กแรกคลอดที่ผู้ปกครองยังไม่ได้ตั้งชื่อ เพื่อลดความผิดพลาดในการบ่งชี้</w:t>
            </w:r>
          </w:p>
          <w:p w14:paraId="037C2750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ส่งเสริมให้ผู้ป่วยมีส่วนร่วมในทุกขั้นตอนของกระบวนการบ่งชี้ตัวผู้ป่วย</w:t>
            </w:r>
          </w:p>
          <w:p w14:paraId="4CFCD4CB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ส่งเสริมให้มีการเขียนฉลากที่ภาชนะสำหรับใส่เลือดหรือสิ่งตรวจอื่นๆ ต่อหน้าผู้ป่วย</w:t>
            </w:r>
          </w:p>
          <w:p w14:paraId="1A7C5A72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จัดให้มีวิธีปฏิบัติที่ชัดเจนในการสอบถามเมื่อผลการตรวจทางห้องปฏิบัติการหรือการตรวจอื่นๆ ไม่สอดคล้องกับประวัติหรือสภาวะทางคลินิกของผู้ป่วย</w:t>
            </w:r>
          </w:p>
          <w:p w14:paraId="2FA69411" w14:textId="77777777" w:rsidR="00CB2F43" w:rsidRPr="00521D36" w:rsidRDefault="00CB2F43" w:rsidP="009860F9">
            <w:pPr>
              <w:numPr>
                <w:ilvl w:val="0"/>
                <w:numId w:val="15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จัดให้มีการตรวจสอบซ้ำและทบทวนเพื่อป้องกันการบันทึกข้อมูลซ้ำอัตโนมัติโดยเครื่องคอมพิวเตอร์</w:t>
            </w:r>
          </w:p>
          <w:p w14:paraId="248B230C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การอบรมสร้างความตระหนักถึงความรับผิดชอบของผู้ให้บริการ ส่งเสริมการให้ความรู้และแนวทางในการบ่งชี้ตัวผู้ป่วยกับผู้ป่วยและญาติเพื่อเข้าใจและมีส่วนร่วมในการระบุตัวตามแนวทางที่กำหนด</w:t>
            </w:r>
          </w:p>
          <w:p w14:paraId="08CC5928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มีการรายงานอุบัติการณ์ที่เกิดขึ้นเพื่อนำข้อมูลมาวิเคราะห์และหาแนวทางในการป้องกันไม่ให้เกิดกับผู้ป่วยรายอื่น</w:t>
            </w:r>
          </w:p>
          <w:p w14:paraId="2285062F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การกำกับติดตามการปฏิบัติตามขั้นตอนการบ่งชี้ตามที่กำหนดไว้ในนโยบาย</w:t>
            </w:r>
          </w:p>
          <w:p w14:paraId="644B0AD2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>-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การกำกับติดตามตัวชี้วัดอุบัติการณ์การเกิดการระบุตัวผิดพลาด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misidentification</w:t>
            </w:r>
          </w:p>
        </w:tc>
        <w:tc>
          <w:tcPr>
            <w:tcW w:w="3402" w:type="dxa"/>
          </w:tcPr>
          <w:p w14:paraId="2DEAFAA6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A9E7C69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1D179446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5556F06A" w14:textId="77777777" w:rsidTr="009860F9">
        <w:tc>
          <w:tcPr>
            <w:tcW w:w="14174" w:type="dxa"/>
            <w:gridSpan w:val="4"/>
            <w:shd w:val="clear" w:color="auto" w:fill="F2F2F2"/>
          </w:tcPr>
          <w:p w14:paraId="12A815BF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7.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ข้อผิดพลาดในการวินิจฉัยโรค</w:t>
            </w:r>
          </w:p>
        </w:tc>
      </w:tr>
      <w:tr w:rsidR="00CB2F43" w:rsidRPr="00521D36" w14:paraId="10897780" w14:textId="77777777" w:rsidTr="009860F9">
        <w:tc>
          <w:tcPr>
            <w:tcW w:w="4361" w:type="dxa"/>
          </w:tcPr>
          <w:p w14:paraId="0351FCE9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7B60276B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P3 Reduction of Diagnostic Errors</w:t>
            </w:r>
          </w:p>
          <w:p w14:paraId="32D53D98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ลดข้อผิดพลาดในการวินิจฉัยโรค</w:t>
            </w:r>
          </w:p>
          <w:p w14:paraId="39A8B53A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การจัดการในระดับโรงพยาบาล</w:t>
            </w:r>
          </w:p>
          <w:p w14:paraId="183D5714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เรียนรู้จากข้อผิดพลาดในการวินิจฉัยโรค ค้นคว้า ศึกษา และอภิปรายร่วมกัน เช่น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Grand Rounds, MM Conference,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การใช้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Trigger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เพื่อทบทวนเวชระเบียน, กิจกรรมทบทวนคุณภาพอื่นๆ</w:t>
            </w:r>
          </w:p>
          <w:p w14:paraId="0442480D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วางระบบรายงานผลการตรวจประกอบการวินิจฉัยโรคให้ครบวงจร เช่น การส่งผลการตรวจให้ผู้ป่วย การติดตามว่ามีการตอบสนองต่อ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Critical Test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ในเวลาที่กำหนดได้เพียงใด เสริมพลังและให้ความรู้แก่ผู้ป่วยให้สามารถมีส่วนร่วมในการวินิจฉัยโรค</w:t>
            </w:r>
          </w:p>
          <w:p w14:paraId="7DD2CD85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ส่งเสริมให้มีการจัดทำบัญชีรายการปัญหาผู้ป่วยที่ถูกต้อง รวมทั้งการวินิจฉัยแยกโรคที่เหมาะสม</w:t>
            </w:r>
          </w:p>
          <w:p w14:paraId="1B236D5E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จัดให้มีช่องทางและวิธีการที่ผู้ให้บริการจะได้รับข้อคิดเห็นสะท้อนกลับเกี่ยวกับการวินิจฉัยโรคที่ได้กระทำไป</w:t>
            </w:r>
          </w:p>
          <w:p w14:paraId="392760FA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ส่งเสริมให้มีการใช้ความเห็นที่สองในการวินิจฉัยโรค</w:t>
            </w:r>
          </w:p>
          <w:p w14:paraId="36C028A5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ปรับปรุงการสื่อสารและปฏิสัมพันธ์ระหว่างบุคลากร</w:t>
            </w:r>
          </w:p>
          <w:p w14:paraId="04E402E8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จัดให้มีเครื่องมือสนับสนุนการตัดสินใจในการวินิจฉัยโรค ให้แพทย์สามารถใช้ได้ ณ จุดให้บริการ</w:t>
            </w:r>
          </w:p>
          <w:p w14:paraId="3A504444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สร้างบรรยากาศที่เอื้อต่อการวินิจฉัยโรคที่เหมาะสม เช่น การมีเวลามากพอในการประเมินผู้ป่วยใหม่โดยไม่มีการรบกวนสมาธิ</w:t>
            </w:r>
          </w:p>
          <w:p w14:paraId="3457B135" w14:textId="77777777" w:rsidR="00CB2F43" w:rsidRPr="00521D36" w:rsidRDefault="00CB2F43" w:rsidP="009860F9">
            <w:pPr>
              <w:numPr>
                <w:ilvl w:val="0"/>
                <w:numId w:val="14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เสริมพลังให้พยาบาลมีส่วนร่วมในการปรับปรุงการวินิจฉัยโรค เช่น การติดตามการทุเลาของอาการหรืออาการใหม่ที่เกิดขึ้น การติดตามให้มั่นใจว่ามีการตรวจทางห้องปฏิบัติการ การอำนวยความสะดวกในการสื่อสารระหว่างผู้ป่วยกับแพทย์</w:t>
            </w:r>
          </w:p>
          <w:p w14:paraId="23360331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การอบรม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สื่อสารสร้างความตระหนักให้แก่ผู้เกี่ยวข้องทั้งแพทย์ พยาบาลและผู้ป่วย</w:t>
            </w:r>
          </w:p>
          <w:p w14:paraId="6A252678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การกำกับติดตาม แหล่งข้อมูลเพื่อให้ได้สถานการณ์ปัญหาข้อผิดพลาดในการวินิจฉัยโรคอาจได้จาก ข้อมูลการตรวจ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Autopsy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และผลการตรวจชิ้นเนื้อ การรายงานของแพทย์เองเกี่ยวกับประสบการณ์เรื่องนี้ การรายงานของผู้ป่วย ฐานข้อมูลรายงานอุบัติการณ์ การทบทวนเวชระเบียนและการทบทวนคุณภาพ รายงานในวารสารวิชาการ ข้อมูลการฟ้องร้องทางการแพทย์</w:t>
            </w:r>
          </w:p>
          <w:p w14:paraId="2E41C839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การติดตามตัวชี้วัด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ตัวชี้วัดผลลัพธ์ เช่น ร้อยละของการตรวจ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autopsy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ที่ทำให้ได้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definitive diagnosis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แตกต่างไปจากเดิม, ร้อยละการตรวจ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postmortem MRI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ที่ทำให้ได้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definitive diagnosis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แตกต่างไปจากเดิม, ร้อยละของผู้ป่วยที่จำหน่ายซึ่งมีการวินิจฉัยโรคแรกรับและการวินิจฉัยโรคเมื่อจำหน่ายแตกต่างกัน.  ตัวชี้วัดกระบวนการ เช่น ร้อยละของผู้ป่วยส่งต่อในโรคใดโรคหนึ่งที่ได้รับการวินิจฉัยโรคเพิ่มเติมหรือการวินิจฉัยโรคที่แตกต่างไปจากเดิม, ร้อยละของผู้ป่วยซึ่งกลับมาที่ห้องฉุกเฉินใน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48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ชั่วโมงซึ่งได้รับการวินิจฉัยโรคเพิ่มเติมหรือการวินิจฉัยโรคที่แตกต่างไปจากเดิม, ร้อยละของชิ้นเนื้อทางพยาธิวิทยาที่ได้รับการอ่านแปลผลซ้ำ, ร้อยละของการส่งตรวจทดสอบทางห้องปฏิบัติการที่ได้รับ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credit,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ร้อยละของการตรวจทางรังสีวิทยาที่ได้รับการอ่านแปลผลซ้ำ, ร้อยละของการส่งต่อหรือขอคำปรึกษาในโรคใดโรคหนึ่งที่ล่าช้าในการส่งต่อหรือได้รับคำปรึกษา</w:t>
            </w:r>
          </w:p>
        </w:tc>
        <w:tc>
          <w:tcPr>
            <w:tcW w:w="3402" w:type="dxa"/>
          </w:tcPr>
          <w:p w14:paraId="2CAB0B80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8E4EA58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40FEF854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727DB9EC" w14:textId="77777777" w:rsidTr="009860F9">
        <w:tc>
          <w:tcPr>
            <w:tcW w:w="14174" w:type="dxa"/>
            <w:gridSpan w:val="4"/>
            <w:shd w:val="clear" w:color="auto" w:fill="F2F2F2"/>
          </w:tcPr>
          <w:p w14:paraId="04BA19D5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8.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การรายงานผลการตรวจห้องปฏิบัติการ</w:t>
            </w:r>
            <w:r w:rsidRPr="00521D36">
              <w:rPr>
                <w:rFonts w:ascii="TH Sarabun New" w:hAnsi="TH Sarabun New" w:cs="TH Sarabun New"/>
                <w:b/>
                <w:bCs/>
              </w:rPr>
              <w:t>/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พยาธิวิทยาผิดพลาด</w:t>
            </w:r>
          </w:p>
        </w:tc>
      </w:tr>
      <w:tr w:rsidR="00CB2F43" w:rsidRPr="00521D36" w14:paraId="1C553972" w14:textId="77777777" w:rsidTr="009860F9">
        <w:tc>
          <w:tcPr>
            <w:tcW w:w="4361" w:type="dxa"/>
          </w:tcPr>
          <w:p w14:paraId="5C527FC1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63FBF40A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L2 Right and Accurate Laboratory Results </w:t>
            </w:r>
          </w:p>
          <w:p w14:paraId="53CE172C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เพื่อให้ผลการทดสอบทางห้องปฏิบัติการเป็นประโยชน์ต่อผู้ป่วยและแพทย์ในการวินิจฉัยโรค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ให้แนวทางการรักษา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ติดตามผลการรักษา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พยากรณ์โรค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ป้องกันโรค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ประเมินสภาวะสุขภาพ</w:t>
            </w:r>
          </w:p>
          <w:p w14:paraId="245BD046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ขั้นตอนในกระบวนการวิเคราะห์ของห้องปฏิบัติการทางการแพทย์ มีระบบควบคุมคุณภาพกำกับอยู่ในงานประจำ ส่วนใหญ่ความผิดพลาดมักเกิดในขั้นตอนก่อนการวิเคราะห์ </w:t>
            </w:r>
          </w:p>
          <w:p w14:paraId="7151C65F" w14:textId="77777777" w:rsidR="00CB2F43" w:rsidRPr="00521D36" w:rsidRDefault="00CB2F43" w:rsidP="009860F9">
            <w:pPr>
              <w:numPr>
                <w:ilvl w:val="0"/>
                <w:numId w:val="13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การระบุตัวผู้ป่วยถูกคนในขณะทำการเก็บสิ่งส่งตรวจจากผู้ป่วย</w:t>
            </w:r>
          </w:p>
          <w:p w14:paraId="69342C83" w14:textId="77777777" w:rsidR="00CB2F43" w:rsidRPr="00521D36" w:rsidRDefault="00CB2F43" w:rsidP="009860F9">
            <w:pPr>
              <w:numPr>
                <w:ilvl w:val="0"/>
                <w:numId w:val="13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การเก็บสิ่งส่งตรวจที่ถูกต้อง มีการเตรียมผู้ป่วยอย่างถูกต้องตามประเภทการทดสอบ ใช้ชนิดและสัดส่วนของสารกันเลือดแข็งหรือสารรักษาสภาพอย่างเหมาะสมกับปริมาณเลือดที่เจาะเก็บ สิ่งส่งตรวจเลือดไม่ปนเปื้อนหรือถูกเจือจางด้วยสารน้ำที่ให้ทางหลอดเลือดดำ</w:t>
            </w:r>
          </w:p>
          <w:p w14:paraId="119C7D20" w14:textId="77777777" w:rsidR="00CB2F43" w:rsidRPr="00521D36" w:rsidRDefault="00CB2F43" w:rsidP="009860F9">
            <w:pPr>
              <w:numPr>
                <w:ilvl w:val="0"/>
                <w:numId w:val="13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การติดฉลากสิ่งส่งตรวจถูกต้อง เหมาะสม ตรงตัวผู้ป่วย ติดฉลากสิ่งส่งตรวจต่อหน้าผู้ป่วย ติดฉลากให้อ่านได้ชัดเจน</w:t>
            </w:r>
          </w:p>
          <w:p w14:paraId="3B78FECE" w14:textId="77777777" w:rsidR="00CB2F43" w:rsidRPr="00521D36" w:rsidRDefault="00CB2F43" w:rsidP="009860F9">
            <w:pPr>
              <w:numPr>
                <w:ilvl w:val="0"/>
                <w:numId w:val="13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การรักษาสภาพสิ่งส่งตรวจให้เหมาะสมก่อนการตรวจวิเคราะห์ โดยคำนึงถึงระยะเวลาและอุณหภูมิในการขนส่งหรือเก็บ และสิ่งรบกวนที่อาจมีผลต่อการวิเคราะห์ เช่น แสงสว่าง ออกซิเจน แบคทีเรียปนเปื้อนที่เพิ่มจำนวนตามระยะเวลา</w:t>
            </w:r>
          </w:p>
          <w:p w14:paraId="2BD3F7EF" w14:textId="77777777" w:rsidR="00CB2F43" w:rsidRPr="00521D36" w:rsidRDefault="00CB2F43" w:rsidP="009860F9">
            <w:pPr>
              <w:numPr>
                <w:ilvl w:val="0"/>
                <w:numId w:val="13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การระบุตัวผู้ป่วยและสิ่งส่งตรวจถูกต้องตรงกันในขณะทำการวิเคราะห์และเมื่อรายงานผล มีวิธีการสอบกลับสิ่งส่งตรวจที่แบ่งมาใช้วิเคราะห์ไปยังสิ่งส่งตรวจที่เก็บจากผู้ป่วยโดยตรง มีการตรวจสอบความถูกต้องตรงกันของผลการทดสอบกับผู้ป่วยเจ้าของสิ่งส่งตรวจ</w:t>
            </w:r>
          </w:p>
          <w:p w14:paraId="7DDB5028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มีการจัดฝึกอบรมในหัวข้อ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Laboratory Practices for Patient Safety </w:t>
            </w:r>
          </w:p>
          <w:p w14:paraId="619F018B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การกำกับติดตามการปฏิบัติตาม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Checklists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หรือจำนวน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/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อัตราผลการทดสอบผิดพลาดที่เกิดตั้งแต่กระบวนการก่อนการตรวจวิเคราะห์ ขณะตรวจวิเคราะห์ และหลังการตรวจวิเคราะห์ จากการที่สิ่งส่งตรวจไม่ตรงกับผู้ป่วย หรือมีสภาพไม่เหมาะสมสำหรับการวิเคราะห์</w:t>
            </w:r>
          </w:p>
        </w:tc>
        <w:tc>
          <w:tcPr>
            <w:tcW w:w="3402" w:type="dxa"/>
          </w:tcPr>
          <w:p w14:paraId="2C0B2ACE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375FD99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208EAB7A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12226054" w14:textId="77777777" w:rsidTr="009860F9">
        <w:tc>
          <w:tcPr>
            <w:tcW w:w="14174" w:type="dxa"/>
            <w:gridSpan w:val="4"/>
            <w:shd w:val="clear" w:color="auto" w:fill="F2F2F2"/>
          </w:tcPr>
          <w:p w14:paraId="0C8980E4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</w:rPr>
              <w:t xml:space="preserve">9. </w:t>
            </w: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การคัดแยกที่ห้องฉุกเฉินคลาดเคลื่อน</w:t>
            </w:r>
          </w:p>
        </w:tc>
      </w:tr>
      <w:tr w:rsidR="00CB2F43" w:rsidRPr="00521D36" w14:paraId="35312FB4" w14:textId="77777777" w:rsidTr="009860F9">
        <w:tc>
          <w:tcPr>
            <w:tcW w:w="4361" w:type="dxa"/>
          </w:tcPr>
          <w:p w14:paraId="4BD64484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SIMPLE: </w:t>
            </w:r>
          </w:p>
          <w:p w14:paraId="760F5929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E4.1 Effective Triage</w:t>
            </w:r>
          </w:p>
          <w:p w14:paraId="45DC7899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เพิ่มประสิทธิภาพของการคัดแยกและจัดลำดับการบริบาล ณ ห้องฉุกเฉิน</w:t>
            </w:r>
          </w:p>
          <w:p w14:paraId="360B656B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: </w:t>
            </w:r>
          </w:p>
          <w:p w14:paraId="6E3E798F" w14:textId="77777777" w:rsidR="00CB2F43" w:rsidRPr="00521D36" w:rsidRDefault="00CB2F43" w:rsidP="009860F9">
            <w:pPr>
              <w:numPr>
                <w:ilvl w:val="0"/>
                <w:numId w:val="12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>Triage System</w:t>
            </w:r>
          </w:p>
          <w:p w14:paraId="6DCA4BEC" w14:textId="77777777" w:rsidR="00CB2F43" w:rsidRPr="00521D36" w:rsidRDefault="00CB2F43" w:rsidP="009860F9">
            <w:pPr>
              <w:numPr>
                <w:ilvl w:val="0"/>
                <w:numId w:val="12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>Triage Process</w:t>
            </w:r>
          </w:p>
          <w:p w14:paraId="04CF8902" w14:textId="77777777" w:rsidR="00CB2F43" w:rsidRPr="00521D36" w:rsidRDefault="00CB2F43" w:rsidP="009860F9">
            <w:pPr>
              <w:numPr>
                <w:ilvl w:val="0"/>
                <w:numId w:val="12"/>
              </w:num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>Triage Structure/ Area/ Information</w:t>
            </w:r>
          </w:p>
          <w:p w14:paraId="28C7D756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 หมายเหตุ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ศึกษารายละเอียดจากหนังสือ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>SIMPLE: E4.1 Effective Triage</w:t>
            </w:r>
          </w:p>
          <w:p w14:paraId="159CCE45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การอบรมบุคลากรห้องฉุกเฉินที่มีหน้าที่ในการคัดแยกควรได้รับการฝึกอบรมที่สำคัญ</w:t>
            </w:r>
          </w:p>
          <w:p w14:paraId="3BA1E03E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การเก็บข้อมูลเพื่อประเมินประสิทธิภาพระบบการคัดแยก การทำ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Triage Audit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และการเก็บรวบรวมตัวชี้วัด เช่น </w:t>
            </w:r>
            <w:r w:rsidRPr="00521D36">
              <w:rPr>
                <w:rFonts w:ascii="TH Sarabun New" w:hAnsi="TH Sarabun New" w:cs="TH Sarabun New"/>
                <w:sz w:val="28"/>
                <w:szCs w:val="28"/>
              </w:rPr>
              <w:t xml:space="preserve">Under-triage  Over-triage </w:t>
            </w:r>
            <w:r w:rsidRPr="00521D36">
              <w:rPr>
                <w:rFonts w:ascii="TH Sarabun New" w:hAnsi="TH Sarabun New" w:cs="TH Sarabun New"/>
                <w:sz w:val="28"/>
                <w:szCs w:val="28"/>
                <w:cs/>
              </w:rPr>
              <w:t>ระยะเวลารอคอบแพทย์แยกตามระดับการคัดแยก เป็นต้น</w:t>
            </w:r>
          </w:p>
        </w:tc>
        <w:tc>
          <w:tcPr>
            <w:tcW w:w="3402" w:type="dxa"/>
          </w:tcPr>
          <w:p w14:paraId="4C2486AF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04FD173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009" w:type="dxa"/>
          </w:tcPr>
          <w:p w14:paraId="0122F582" w14:textId="77777777" w:rsidR="00CB2F43" w:rsidRPr="00521D36" w:rsidRDefault="00CB2F43" w:rsidP="009860F9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B2F43" w:rsidRPr="00521D36" w14:paraId="04F6F0B5" w14:textId="77777777" w:rsidTr="009860F9">
        <w:tc>
          <w:tcPr>
            <w:tcW w:w="14174" w:type="dxa"/>
            <w:gridSpan w:val="4"/>
            <w:shd w:val="clear" w:color="auto" w:fill="F2F2F2"/>
          </w:tcPr>
          <w:p w14:paraId="3AFFDE10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  <w:r w:rsidRPr="00521D36">
              <w:rPr>
                <w:rFonts w:ascii="TH Sarabun New" w:hAnsi="TH Sarabun New" w:cs="TH Sarabun New"/>
                <w:b/>
                <w:bCs/>
                <w:cs/>
              </w:rPr>
              <w:t>อื่นๆ (ระบุ)</w:t>
            </w:r>
          </w:p>
        </w:tc>
      </w:tr>
      <w:tr w:rsidR="00CB2F43" w:rsidRPr="00521D36" w14:paraId="7F532CFE" w14:textId="77777777" w:rsidTr="009860F9">
        <w:tc>
          <w:tcPr>
            <w:tcW w:w="4361" w:type="dxa"/>
            <w:shd w:val="clear" w:color="auto" w:fill="FFFFFF"/>
          </w:tcPr>
          <w:p w14:paraId="71360326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</w:p>
          <w:p w14:paraId="36A6F1B3" w14:textId="77777777" w:rsidR="001D7C7D" w:rsidRPr="00521D36" w:rsidRDefault="001D7C7D" w:rsidP="009860F9">
            <w:pPr>
              <w:rPr>
                <w:rFonts w:ascii="TH Sarabun New" w:hAnsi="TH Sarabun New" w:cs="TH Sarabun New"/>
                <w:b/>
                <w:bCs/>
              </w:rPr>
            </w:pPr>
          </w:p>
          <w:p w14:paraId="107D064E" w14:textId="77777777" w:rsidR="001D7C7D" w:rsidRPr="00521D36" w:rsidRDefault="001D7C7D" w:rsidP="009860F9">
            <w:pPr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3402" w:type="dxa"/>
            <w:shd w:val="clear" w:color="auto" w:fill="FFFFFF"/>
          </w:tcPr>
          <w:p w14:paraId="27679ACE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402" w:type="dxa"/>
            <w:shd w:val="clear" w:color="auto" w:fill="FFFFFF"/>
          </w:tcPr>
          <w:p w14:paraId="4CAA9AB7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3009" w:type="dxa"/>
            <w:shd w:val="clear" w:color="auto" w:fill="FFFFFF"/>
          </w:tcPr>
          <w:p w14:paraId="47FE3C11" w14:textId="77777777" w:rsidR="00CB2F43" w:rsidRPr="00521D36" w:rsidRDefault="00CB2F43" w:rsidP="009860F9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5997CC1D" w14:textId="77777777" w:rsidR="00AD5375" w:rsidRPr="00521D36" w:rsidRDefault="00AD5375" w:rsidP="00AD5375">
      <w:pPr>
        <w:rPr>
          <w:rFonts w:ascii="TH Sarabun New" w:hAnsi="TH Sarabun New" w:cs="TH Sarabun New"/>
          <w:sz w:val="28"/>
          <w:szCs w:val="28"/>
          <w:cs/>
        </w:rPr>
      </w:pPr>
    </w:p>
    <w:sectPr w:rsidR="00AD5375" w:rsidRPr="00521D36" w:rsidSect="004D1A3A">
      <w:headerReference w:type="default" r:id="rId10"/>
      <w:footerReference w:type="default" r:id="rId11"/>
      <w:pgSz w:w="16838" w:h="11906" w:orient="landscape"/>
      <w:pgMar w:top="1400" w:right="1440" w:bottom="1276" w:left="1440" w:header="720" w:footer="5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99397" w14:textId="77777777" w:rsidR="00F52A24" w:rsidRDefault="00F52A24">
      <w:r>
        <w:separator/>
      </w:r>
    </w:p>
  </w:endnote>
  <w:endnote w:type="continuationSeparator" w:id="0">
    <w:p w14:paraId="12FAA0CA" w14:textId="77777777" w:rsidR="00F52A24" w:rsidRDefault="00F52A24">
      <w:r>
        <w:continuationSeparator/>
      </w:r>
    </w:p>
  </w:endnote>
  <w:endnote w:type="continuationNotice" w:id="1">
    <w:p w14:paraId="29594368" w14:textId="77777777" w:rsidR="00F52A24" w:rsidRDefault="00F52A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408444"/>
      <w:docPartObj>
        <w:docPartGallery w:val="Page Numbers (Bottom of Page)"/>
        <w:docPartUnique/>
      </w:docPartObj>
    </w:sdtPr>
    <w:sdtEndPr/>
    <w:sdtContent>
      <w:p w14:paraId="22DD87A0" w14:textId="57D5C736" w:rsidR="00413EC8" w:rsidRDefault="00413E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8056BD" w14:textId="77777777" w:rsidR="00413EC8" w:rsidRDefault="00413E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A0BA8" w14:textId="77777777" w:rsidR="00F52A24" w:rsidRDefault="00F52A24">
      <w:r>
        <w:separator/>
      </w:r>
    </w:p>
  </w:footnote>
  <w:footnote w:type="continuationSeparator" w:id="0">
    <w:p w14:paraId="3EC80BD2" w14:textId="77777777" w:rsidR="00F52A24" w:rsidRDefault="00F52A24">
      <w:r>
        <w:continuationSeparator/>
      </w:r>
    </w:p>
  </w:footnote>
  <w:footnote w:type="continuationNotice" w:id="1">
    <w:p w14:paraId="3F19CA11" w14:textId="77777777" w:rsidR="00F52A24" w:rsidRDefault="00F52A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8286" w14:textId="0C9F91A5" w:rsidR="005D03FA" w:rsidRPr="00044F03" w:rsidRDefault="005D03FA" w:rsidP="005D03FA">
    <w:pPr>
      <w:pStyle w:val="Header"/>
      <w:jc w:val="right"/>
      <w:rPr>
        <w:rFonts w:ascii="TH Sarabun New" w:hAnsi="TH Sarabun New" w:cs="TH Sarabun New"/>
        <w:sz w:val="24"/>
        <w:szCs w:val="32"/>
      </w:rPr>
    </w:pPr>
    <w:r w:rsidRPr="00044F03">
      <w:rPr>
        <w:rFonts w:ascii="TH Sarabun New" w:hAnsi="TH Sarabun New" w:cs="TH Sarabun New"/>
        <w:sz w:val="24"/>
        <w:szCs w:val="32"/>
      </w:rPr>
      <w:t>FM-ACD-099-00</w:t>
    </w:r>
  </w:p>
  <w:p w14:paraId="7BAB26DF" w14:textId="76541483" w:rsidR="005D03FA" w:rsidRPr="00044F03" w:rsidRDefault="005D03FA" w:rsidP="005D03FA">
    <w:pPr>
      <w:pStyle w:val="Header"/>
      <w:jc w:val="right"/>
      <w:rPr>
        <w:rFonts w:ascii="TH Sarabun New" w:hAnsi="TH Sarabun New" w:cs="TH Sarabun New"/>
        <w:sz w:val="24"/>
        <w:szCs w:val="32"/>
      </w:rPr>
    </w:pPr>
    <w:r w:rsidRPr="00044F03">
      <w:rPr>
        <w:rFonts w:ascii="TH Sarabun New" w:hAnsi="TH Sarabun New" w:cs="TH Sarabun New"/>
        <w:sz w:val="24"/>
        <w:szCs w:val="32"/>
      </w:rPr>
      <w:t>Date: 16/10/2</w:t>
    </w:r>
    <w:r w:rsidR="008914D9" w:rsidRPr="00044F03">
      <w:rPr>
        <w:rFonts w:ascii="TH Sarabun New" w:hAnsi="TH Sarabun New" w:cs="TH Sarabun New"/>
        <w:sz w:val="24"/>
        <w:szCs w:val="32"/>
      </w:rPr>
      <w:t>5</w:t>
    </w:r>
    <w:r w:rsidRPr="00044F03">
      <w:rPr>
        <w:rFonts w:ascii="TH Sarabun New" w:hAnsi="TH Sarabun New" w:cs="TH Sarabun New"/>
        <w:sz w:val="24"/>
        <w:szCs w:val="32"/>
      </w:rPr>
      <w:t>66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 logo of a healthcare institute&#10;&#10;Description automatically generated" style="width:800.25pt;height:600.75pt;visibility:visible;mso-wrap-style:square" o:bullet="t">
        <v:imagedata r:id="rId1" o:title="A logo of a healthcare institute&#10;&#10;Description automatically generated"/>
      </v:shape>
    </w:pict>
  </w:numPicBullet>
  <w:abstractNum w:abstractNumId="0" w15:restartNumberingAfterBreak="0">
    <w:nsid w:val="011A60E5"/>
    <w:multiLevelType w:val="hybridMultilevel"/>
    <w:tmpl w:val="EC68D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84D2D"/>
    <w:multiLevelType w:val="hybridMultilevel"/>
    <w:tmpl w:val="D65038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2F35C6"/>
    <w:multiLevelType w:val="hybridMultilevel"/>
    <w:tmpl w:val="3B3A6E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62674"/>
    <w:multiLevelType w:val="hybridMultilevel"/>
    <w:tmpl w:val="F4005F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EB7F42"/>
    <w:multiLevelType w:val="hybridMultilevel"/>
    <w:tmpl w:val="C3AE9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890869"/>
    <w:multiLevelType w:val="hybridMultilevel"/>
    <w:tmpl w:val="A09AD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16FC7"/>
    <w:multiLevelType w:val="hybridMultilevel"/>
    <w:tmpl w:val="792C1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8023C"/>
    <w:multiLevelType w:val="hybridMultilevel"/>
    <w:tmpl w:val="E2CC3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B70DF"/>
    <w:multiLevelType w:val="hybridMultilevel"/>
    <w:tmpl w:val="F1A84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30FF1"/>
    <w:multiLevelType w:val="hybridMultilevel"/>
    <w:tmpl w:val="912272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BC7741"/>
    <w:multiLevelType w:val="hybridMultilevel"/>
    <w:tmpl w:val="9836D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2789F"/>
    <w:multiLevelType w:val="hybridMultilevel"/>
    <w:tmpl w:val="7B1089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6606876"/>
    <w:multiLevelType w:val="hybridMultilevel"/>
    <w:tmpl w:val="A044C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A03610"/>
    <w:multiLevelType w:val="hybridMultilevel"/>
    <w:tmpl w:val="856E3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93EEA"/>
    <w:multiLevelType w:val="hybridMultilevel"/>
    <w:tmpl w:val="9D728A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B39F1"/>
    <w:multiLevelType w:val="hybridMultilevel"/>
    <w:tmpl w:val="8E4EE08A"/>
    <w:lvl w:ilvl="0" w:tplc="731A3C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9856745">
    <w:abstractNumId w:val="4"/>
  </w:num>
  <w:num w:numId="2" w16cid:durableId="430131065">
    <w:abstractNumId w:val="11"/>
  </w:num>
  <w:num w:numId="3" w16cid:durableId="601718261">
    <w:abstractNumId w:val="14"/>
  </w:num>
  <w:num w:numId="4" w16cid:durableId="1909269208">
    <w:abstractNumId w:val="12"/>
  </w:num>
  <w:num w:numId="5" w16cid:durableId="2080056418">
    <w:abstractNumId w:val="1"/>
  </w:num>
  <w:num w:numId="6" w16cid:durableId="246350206">
    <w:abstractNumId w:val="9"/>
  </w:num>
  <w:num w:numId="7" w16cid:durableId="1986809259">
    <w:abstractNumId w:val="3"/>
  </w:num>
  <w:num w:numId="8" w16cid:durableId="1305966197">
    <w:abstractNumId w:val="2"/>
  </w:num>
  <w:num w:numId="9" w16cid:durableId="955602886">
    <w:abstractNumId w:val="15"/>
  </w:num>
  <w:num w:numId="10" w16cid:durableId="2135830859">
    <w:abstractNumId w:val="6"/>
  </w:num>
  <w:num w:numId="11" w16cid:durableId="1572888591">
    <w:abstractNumId w:val="0"/>
  </w:num>
  <w:num w:numId="12" w16cid:durableId="1709645102">
    <w:abstractNumId w:val="10"/>
  </w:num>
  <w:num w:numId="13" w16cid:durableId="886919258">
    <w:abstractNumId w:val="8"/>
  </w:num>
  <w:num w:numId="14" w16cid:durableId="1281717548">
    <w:abstractNumId w:val="13"/>
  </w:num>
  <w:num w:numId="15" w16cid:durableId="1494445974">
    <w:abstractNumId w:val="5"/>
  </w:num>
  <w:num w:numId="16" w16cid:durableId="6442438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01C"/>
    <w:rsid w:val="000018C8"/>
    <w:rsid w:val="00044F03"/>
    <w:rsid w:val="00057AFD"/>
    <w:rsid w:val="00085200"/>
    <w:rsid w:val="000A3607"/>
    <w:rsid w:val="000D6357"/>
    <w:rsid w:val="000F0547"/>
    <w:rsid w:val="000F4016"/>
    <w:rsid w:val="0012084D"/>
    <w:rsid w:val="0013333F"/>
    <w:rsid w:val="0019301C"/>
    <w:rsid w:val="001B3F2E"/>
    <w:rsid w:val="001C0E7B"/>
    <w:rsid w:val="001D7C7D"/>
    <w:rsid w:val="001E0657"/>
    <w:rsid w:val="00201675"/>
    <w:rsid w:val="00236957"/>
    <w:rsid w:val="0026616C"/>
    <w:rsid w:val="002860B2"/>
    <w:rsid w:val="002A064A"/>
    <w:rsid w:val="002F2AA2"/>
    <w:rsid w:val="003358D2"/>
    <w:rsid w:val="00386185"/>
    <w:rsid w:val="00386A3D"/>
    <w:rsid w:val="00393197"/>
    <w:rsid w:val="003A1477"/>
    <w:rsid w:val="003A7228"/>
    <w:rsid w:val="003F0E40"/>
    <w:rsid w:val="0040760C"/>
    <w:rsid w:val="00413EC8"/>
    <w:rsid w:val="0043529E"/>
    <w:rsid w:val="00466C7D"/>
    <w:rsid w:val="00480B3F"/>
    <w:rsid w:val="004B39AF"/>
    <w:rsid w:val="004C741A"/>
    <w:rsid w:val="004D1A3A"/>
    <w:rsid w:val="005204BD"/>
    <w:rsid w:val="00521D36"/>
    <w:rsid w:val="005228A7"/>
    <w:rsid w:val="00535DC1"/>
    <w:rsid w:val="005459E1"/>
    <w:rsid w:val="00553814"/>
    <w:rsid w:val="00562E57"/>
    <w:rsid w:val="005D03FA"/>
    <w:rsid w:val="0060379E"/>
    <w:rsid w:val="006147C3"/>
    <w:rsid w:val="00624905"/>
    <w:rsid w:val="00626DFA"/>
    <w:rsid w:val="006420A4"/>
    <w:rsid w:val="006663E6"/>
    <w:rsid w:val="00670A0C"/>
    <w:rsid w:val="00674060"/>
    <w:rsid w:val="00695A6E"/>
    <w:rsid w:val="006C2C7B"/>
    <w:rsid w:val="006C5794"/>
    <w:rsid w:val="006C7EDA"/>
    <w:rsid w:val="006D2674"/>
    <w:rsid w:val="007029B9"/>
    <w:rsid w:val="00715017"/>
    <w:rsid w:val="00723833"/>
    <w:rsid w:val="00733FDC"/>
    <w:rsid w:val="00734B5E"/>
    <w:rsid w:val="00741B1F"/>
    <w:rsid w:val="007553B0"/>
    <w:rsid w:val="007579C9"/>
    <w:rsid w:val="00780418"/>
    <w:rsid w:val="007978FC"/>
    <w:rsid w:val="007C0C84"/>
    <w:rsid w:val="007E1513"/>
    <w:rsid w:val="00812E33"/>
    <w:rsid w:val="0083723D"/>
    <w:rsid w:val="008914D9"/>
    <w:rsid w:val="00897FA3"/>
    <w:rsid w:val="008A1678"/>
    <w:rsid w:val="0093775B"/>
    <w:rsid w:val="009418A6"/>
    <w:rsid w:val="00944DAB"/>
    <w:rsid w:val="00952899"/>
    <w:rsid w:val="00963059"/>
    <w:rsid w:val="00963E29"/>
    <w:rsid w:val="00972752"/>
    <w:rsid w:val="0099264F"/>
    <w:rsid w:val="009F3C18"/>
    <w:rsid w:val="00A602BA"/>
    <w:rsid w:val="00A65457"/>
    <w:rsid w:val="00A67B04"/>
    <w:rsid w:val="00A95B05"/>
    <w:rsid w:val="00AD5375"/>
    <w:rsid w:val="00B031AE"/>
    <w:rsid w:val="00B31EEF"/>
    <w:rsid w:val="00B370F3"/>
    <w:rsid w:val="00B44260"/>
    <w:rsid w:val="00B60713"/>
    <w:rsid w:val="00B612A3"/>
    <w:rsid w:val="00B87240"/>
    <w:rsid w:val="00BA658F"/>
    <w:rsid w:val="00BD12AF"/>
    <w:rsid w:val="00BD6259"/>
    <w:rsid w:val="00BF730C"/>
    <w:rsid w:val="00C03C2D"/>
    <w:rsid w:val="00C17A07"/>
    <w:rsid w:val="00C21EC5"/>
    <w:rsid w:val="00C41283"/>
    <w:rsid w:val="00C84AD7"/>
    <w:rsid w:val="00CB2F43"/>
    <w:rsid w:val="00CB7767"/>
    <w:rsid w:val="00D00CC0"/>
    <w:rsid w:val="00D05171"/>
    <w:rsid w:val="00D24474"/>
    <w:rsid w:val="00D46E85"/>
    <w:rsid w:val="00D6386F"/>
    <w:rsid w:val="00D73A3C"/>
    <w:rsid w:val="00D87F80"/>
    <w:rsid w:val="00D90951"/>
    <w:rsid w:val="00D949CC"/>
    <w:rsid w:val="00DD78FD"/>
    <w:rsid w:val="00DE6A6E"/>
    <w:rsid w:val="00DF2333"/>
    <w:rsid w:val="00E20E3D"/>
    <w:rsid w:val="00E25113"/>
    <w:rsid w:val="00E37CA1"/>
    <w:rsid w:val="00E65D53"/>
    <w:rsid w:val="00E720F1"/>
    <w:rsid w:val="00E871AF"/>
    <w:rsid w:val="00E92E87"/>
    <w:rsid w:val="00ED193F"/>
    <w:rsid w:val="00EE2B4A"/>
    <w:rsid w:val="00F13098"/>
    <w:rsid w:val="00F41A2E"/>
    <w:rsid w:val="00F52A24"/>
    <w:rsid w:val="00F62F95"/>
    <w:rsid w:val="00FA7564"/>
    <w:rsid w:val="00FE7C5D"/>
    <w:rsid w:val="0E712FB2"/>
    <w:rsid w:val="2C68877C"/>
    <w:rsid w:val="2D082D4F"/>
    <w:rsid w:val="3F94BC10"/>
    <w:rsid w:val="42CC5CD2"/>
    <w:rsid w:val="44682D33"/>
    <w:rsid w:val="61E134DE"/>
    <w:rsid w:val="6CD768B2"/>
    <w:rsid w:val="758D20AD"/>
    <w:rsid w:val="7728F10E"/>
    <w:rsid w:val="7A47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5DB69A34"/>
  <w15:chartTrackingRefBased/>
  <w15:docId w15:val="{299B5EE7-2AF0-44E1-B58C-9FD36EE7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301C"/>
    <w:rPr>
      <w:rFonts w:ascii="Browallia New" w:hAnsi="Browallia New" w:cs="Browallia New"/>
      <w:sz w:val="32"/>
      <w:szCs w:val="32"/>
      <w:lang w:eastAsia="en-US" w:bidi="th-TH"/>
    </w:rPr>
  </w:style>
  <w:style w:type="paragraph" w:styleId="Heading1">
    <w:name w:val="heading 1"/>
    <w:basedOn w:val="Normal"/>
    <w:next w:val="Normal"/>
    <w:link w:val="Heading1Char"/>
    <w:autoRedefine/>
    <w:qFormat/>
    <w:rsid w:val="0019301C"/>
    <w:pPr>
      <w:keepNext/>
      <w:spacing w:after="60"/>
      <w:outlineLvl w:val="0"/>
    </w:pPr>
    <w:rPr>
      <w:rFonts w:cs="FreesiaUPC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autoRedefine/>
    <w:qFormat/>
    <w:rsid w:val="0019301C"/>
    <w:pPr>
      <w:keepNext/>
      <w:spacing w:before="120" w:after="120"/>
      <w:outlineLvl w:val="1"/>
    </w:pPr>
    <w:rPr>
      <w:rFonts w:eastAsia="Cordia New"/>
      <w:b/>
      <w:bCs/>
      <w:snapToGrid w:val="0"/>
      <w:sz w:val="30"/>
      <w:szCs w:val="30"/>
      <w:u w:val="single"/>
      <w:lang w:eastAsia="th-TH"/>
    </w:rPr>
  </w:style>
  <w:style w:type="paragraph" w:styleId="Heading3">
    <w:name w:val="heading 3"/>
    <w:basedOn w:val="Normal"/>
    <w:next w:val="Normal"/>
    <w:autoRedefine/>
    <w:qFormat/>
    <w:rsid w:val="0019301C"/>
    <w:pPr>
      <w:keepNext/>
      <w:spacing w:before="120" w:after="60"/>
      <w:outlineLvl w:val="2"/>
    </w:pPr>
    <w:rPr>
      <w:rFonts w:eastAsia="Cordia New"/>
      <w:b/>
      <w:bCs/>
      <w:i/>
      <w:iCs/>
      <w:snapToGrid w:val="0"/>
      <w:sz w:val="30"/>
      <w:szCs w:val="30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9301C"/>
    <w:rPr>
      <w:rFonts w:ascii="Browallia New" w:hAnsi="Browallia New" w:cs="FreesiaUPC"/>
      <w:b/>
      <w:bCs/>
      <w:kern w:val="32"/>
      <w:sz w:val="36"/>
      <w:szCs w:val="36"/>
      <w:lang w:val="en-US" w:eastAsia="en-US" w:bidi="th-TH"/>
    </w:rPr>
  </w:style>
  <w:style w:type="table" w:styleId="TableGrid">
    <w:name w:val="Table Grid"/>
    <w:basedOn w:val="TableNormal"/>
    <w:rsid w:val="00193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029B9"/>
    <w:rPr>
      <w:color w:val="0000FF"/>
      <w:u w:val="single"/>
    </w:rPr>
  </w:style>
  <w:style w:type="paragraph" w:styleId="FootnoteText">
    <w:name w:val="footnote text"/>
    <w:basedOn w:val="Normal"/>
    <w:semiHidden/>
    <w:rsid w:val="003A1477"/>
    <w:rPr>
      <w:rFonts w:cs="Angsana New"/>
      <w:sz w:val="20"/>
      <w:szCs w:val="23"/>
    </w:rPr>
  </w:style>
  <w:style w:type="character" w:styleId="FootnoteReference">
    <w:name w:val="footnote reference"/>
    <w:semiHidden/>
    <w:rsid w:val="003A1477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rsid w:val="003358D2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Footer">
    <w:name w:val="footer"/>
    <w:basedOn w:val="Normal"/>
    <w:link w:val="FooterChar"/>
    <w:uiPriority w:val="99"/>
    <w:rsid w:val="003358D2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FooterChar">
    <w:name w:val="Footer Char"/>
    <w:link w:val="Footer"/>
    <w:uiPriority w:val="99"/>
    <w:rsid w:val="004D1A3A"/>
    <w:rPr>
      <w:rFonts w:ascii="Browallia New" w:hAnsi="Browallia New"/>
      <w:sz w:val="32"/>
      <w:szCs w:val="37"/>
    </w:rPr>
  </w:style>
  <w:style w:type="character" w:styleId="UnresolvedMention">
    <w:name w:val="Unresolved Mention"/>
    <w:uiPriority w:val="99"/>
    <w:semiHidden/>
    <w:unhideWhenUsed/>
    <w:rsid w:val="00EE2B4A"/>
    <w:rPr>
      <w:color w:val="605E5C"/>
      <w:shd w:val="clear" w:color="auto" w:fill="E1DFDD"/>
    </w:rPr>
  </w:style>
  <w:style w:type="character" w:styleId="FollowedHyperlink">
    <w:name w:val="FollowedHyperlink"/>
    <w:rsid w:val="00EE2B4A"/>
    <w:rPr>
      <w:color w:val="954F72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13EC8"/>
    <w:rPr>
      <w:rFonts w:ascii="Browallia New" w:hAnsi="Browallia New"/>
      <w:sz w:val="32"/>
      <w:szCs w:val="37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8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.or.th/TH/Posts/%E0%B8%AA%E0%B8%B2%E0%B8%A3%E0%B8%B0-%E0%B8%AD%E0%B8%87%E0%B8%84%E0%B9%8C%E0%B8%84%E0%B8%A7%E0%B8%B2%E0%B8%A1%E0%B8%A3%E0%B8%B9%E0%B9%89/Details/17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ha.or.th/TH/Posts/%E0%B8%AA%E0%B8%B2%E0%B8%A3%E0%B8%B0-%E0%B8%AD%E0%B8%87%E0%B8%84%E0%B9%8C%E0%B8%84%E0%B8%A7%E0%B8%B2%E0%B8%A1%E0%B8%A3%E0%B8%B9%E0%B9%89/Details/17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2378</Words>
  <Characters>10359</Characters>
  <Application>Microsoft Office Word</Application>
  <DocSecurity>0</DocSecurity>
  <Lines>86</Lines>
  <Paragraphs>25</Paragraphs>
  <ScaleCrop>false</ScaleCrop>
  <Company>Hospital Quality Improvement &amp; Accreditation</Company>
  <LinksUpToDate>false</LinksUpToDate>
  <CharactersWithSpaces>12712</CharactersWithSpaces>
  <SharedDoc>false</SharedDoc>
  <HLinks>
    <vt:vector size="12" baseType="variant">
      <vt:variant>
        <vt:i4>2228341</vt:i4>
      </vt:variant>
      <vt:variant>
        <vt:i4>3</vt:i4>
      </vt:variant>
      <vt:variant>
        <vt:i4>0</vt:i4>
      </vt:variant>
      <vt:variant>
        <vt:i4>5</vt:i4>
      </vt:variant>
      <vt:variant>
        <vt:lpwstr>https://www.ha.or.th/TH/Posts/%E0%B8%AA%E0%B8%B2%E0%B8%A3%E0%B8%B0-%E0%B8%AD%E0%B8%87%E0%B8%84%E0%B9%8C%E0%B8%84%E0%B8%A7%E0%B8%B2%E0%B8%A1%E0%B8%A3%E0%B8%B9%E0%B9%89/Details/173</vt:lpwstr>
      </vt:variant>
      <vt:variant>
        <vt:lpwstr/>
      </vt:variant>
      <vt:variant>
        <vt:i4>2293877</vt:i4>
      </vt:variant>
      <vt:variant>
        <vt:i4>0</vt:i4>
      </vt:variant>
      <vt:variant>
        <vt:i4>0</vt:i4>
      </vt:variant>
      <vt:variant>
        <vt:i4>5</vt:i4>
      </vt:variant>
      <vt:variant>
        <vt:lpwstr>https://www.ha.or.th/TH/Posts/%E0%B8%AA%E0%B8%B2%E0%B8%A3%E0%B8%B0-%E0%B8%AD%E0%B8%87%E0%B8%84%E0%B9%8C%E0%B8%84%E0%B8%A7%E0%B8%B2%E0%B8%A1%E0%B8%A3%E0%B8%B9%E0%B9%89/Details/172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กรกฎาคม 2551</dc:title>
  <dc:subject/>
  <dc:creator>anuwat</dc:creator>
  <cp:keywords/>
  <dc:description/>
  <cp:lastModifiedBy>Watcharaporn Muankid</cp:lastModifiedBy>
  <cp:revision>10</cp:revision>
  <dcterms:created xsi:type="dcterms:W3CDTF">2023-10-16T05:20:00Z</dcterms:created>
  <dcterms:modified xsi:type="dcterms:W3CDTF">2023-10-18T09:22:00Z</dcterms:modified>
</cp:coreProperties>
</file>